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D1" w:rsidRDefault="00B37DD1" w:rsidP="00B37DD1">
      <w:pPr>
        <w:spacing w:after="100" w:afterAutospacing="1" w:line="240" w:lineRule="auto"/>
        <w:jc w:val="both"/>
        <w:rPr>
          <w:rFonts w:ascii="Arial" w:eastAsia="Times New Roman" w:hAnsi="Arial" w:cs="Arial"/>
          <w:color w:val="222222"/>
          <w:sz w:val="24"/>
          <w:szCs w:val="27"/>
          <w:lang w:eastAsia="it-IT"/>
        </w:rPr>
      </w:pPr>
      <w:r>
        <w:rPr>
          <w:rFonts w:ascii="Arial" w:hAnsi="Arial" w:cs="Arial"/>
          <w:bCs/>
          <w:i/>
          <w:noProof/>
          <w:color w:val="222222"/>
          <w:szCs w:val="27"/>
        </w:rPr>
        <mc:AlternateContent>
          <mc:Choice Requires="wps">
            <w:drawing>
              <wp:anchor distT="0" distB="0" distL="114300" distR="114300" simplePos="0" relativeHeight="251659264" behindDoc="0" locked="0" layoutInCell="1" allowOverlap="1" wp14:anchorId="4CEA34C0" wp14:editId="4FF67D5F">
                <wp:simplePos x="0" y="0"/>
                <wp:positionH relativeFrom="column">
                  <wp:posOffset>0</wp:posOffset>
                </wp:positionH>
                <wp:positionV relativeFrom="paragraph">
                  <wp:posOffset>-635</wp:posOffset>
                </wp:positionV>
                <wp:extent cx="3299460" cy="365760"/>
                <wp:effectExtent l="0" t="0" r="15240" b="15240"/>
                <wp:wrapNone/>
                <wp:docPr id="17" name="Rettangolo arrotondato 17"/>
                <wp:cNvGraphicFramePr/>
                <a:graphic xmlns:a="http://schemas.openxmlformats.org/drawingml/2006/main">
                  <a:graphicData uri="http://schemas.microsoft.com/office/word/2010/wordprocessingShape">
                    <wps:wsp>
                      <wps:cNvSpPr/>
                      <wps:spPr>
                        <a:xfrm>
                          <a:off x="0" y="0"/>
                          <a:ext cx="3299460" cy="365760"/>
                        </a:xfrm>
                        <a:prstGeom prst="roundRect">
                          <a:avLst/>
                        </a:prstGeom>
                        <a:solidFill>
                          <a:schemeClr val="accent1">
                            <a:lumMod val="60000"/>
                            <a:lumOff val="4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7DD1" w:rsidRDefault="00B37DD1" w:rsidP="00B37DD1">
                            <w:r>
                              <w:rPr>
                                <w:rFonts w:ascii="Arial" w:hAnsi="Arial" w:cs="Arial"/>
                                <w:b/>
                                <w:bCs/>
                                <w:color w:val="222222"/>
                                <w:sz w:val="27"/>
                                <w:szCs w:val="27"/>
                              </w:rPr>
                              <w:t>Garanzia SACE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EA34C0" id="Rettangolo arrotondato 17" o:spid="_x0000_s1026" style="position:absolute;left:0;text-align:left;margin-left:0;margin-top:-.05pt;width:259.8pt;height:2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" fillcolor="#9cc2e5 [1940]" strokecolor="#bdd6ee [1300]" strokeweight="1pt">
                <v:stroke joinstyle="miter"/>
                <v:textbox>
                  <w:txbxContent>
                    <w:p w:rsidR="00B37DD1" w:rsidRDefault="00B37DD1" w:rsidP="00B37DD1">
                      <w:r>
                        <w:rPr>
                          <w:rFonts w:ascii="Arial" w:hAnsi="Arial" w:cs="Arial"/>
                          <w:b/>
                          <w:bCs/>
                          <w:color w:val="222222"/>
                          <w:sz w:val="27"/>
                          <w:szCs w:val="27"/>
                        </w:rPr>
                        <w:t>Garanzia SACE</w:t>
                      </w:r>
                    </w:p>
                  </w:txbxContent>
                </v:textbox>
              </v:roundrect>
            </w:pict>
          </mc:Fallback>
        </mc:AlternateContent>
      </w:r>
    </w:p>
    <w:p w:rsidR="00B37DD1" w:rsidRDefault="00B37DD1" w:rsidP="00B37DD1">
      <w:pPr>
        <w:spacing w:after="0" w:line="240" w:lineRule="auto"/>
        <w:jc w:val="both"/>
        <w:rPr>
          <w:rFonts w:ascii="Arial" w:eastAsia="Times New Roman" w:hAnsi="Arial" w:cs="Arial"/>
          <w:color w:val="222222"/>
          <w:sz w:val="24"/>
          <w:szCs w:val="27"/>
          <w:lang w:eastAsia="it-IT"/>
        </w:rPr>
      </w:pPr>
    </w:p>
    <w:p w:rsidR="00B37DD1" w:rsidRPr="00ED508C" w:rsidRDefault="00B37DD1" w:rsidP="00B37DD1">
      <w:pPr>
        <w:spacing w:after="100" w:afterAutospacing="1" w:line="240" w:lineRule="auto"/>
        <w:jc w:val="both"/>
        <w:rPr>
          <w:rFonts w:ascii="Arial" w:eastAsia="Times New Roman" w:hAnsi="Arial" w:cs="Arial"/>
          <w:color w:val="222222"/>
          <w:sz w:val="24"/>
          <w:szCs w:val="27"/>
          <w:lang w:eastAsia="it-IT"/>
        </w:rPr>
      </w:pPr>
      <w:r w:rsidRPr="00ED508C">
        <w:rPr>
          <w:rFonts w:ascii="Arial" w:eastAsia="Times New Roman" w:hAnsi="Arial" w:cs="Arial"/>
          <w:color w:val="222222"/>
          <w:sz w:val="24"/>
          <w:szCs w:val="27"/>
          <w:lang w:eastAsia="it-IT"/>
        </w:rPr>
        <w:t>Per tutte le imprese, anche di grandi dimensioni, le PMI, i lavoratori autonomi e i liberi professionisti che abbiano già completamente esaurito la loro quota di accesso al Fondo di garanzia per le PMI, il Decreto “Liquidità”, al fine di agevolare l’accesso al credito, ha previsto la concessione di una </w:t>
      </w:r>
      <w:r w:rsidRPr="00ED508C">
        <w:rPr>
          <w:rFonts w:ascii="Arial" w:eastAsia="Times New Roman" w:hAnsi="Arial" w:cs="Arial"/>
          <w:b/>
          <w:bCs/>
          <w:color w:val="222222"/>
          <w:sz w:val="24"/>
          <w:szCs w:val="27"/>
          <w:lang w:eastAsia="it-IT"/>
        </w:rPr>
        <w:t>garanzia da parte di SACE</w:t>
      </w:r>
      <w:r w:rsidRPr="00ED508C">
        <w:rPr>
          <w:rFonts w:ascii="Arial" w:eastAsia="Times New Roman" w:hAnsi="Arial" w:cs="Arial"/>
          <w:color w:val="222222"/>
          <w:sz w:val="24"/>
          <w:szCs w:val="27"/>
          <w:lang w:eastAsia="it-IT"/>
        </w:rPr>
        <w:t> sui finanziamenti bancari.  </w:t>
      </w:r>
    </w:p>
    <w:p w:rsidR="00B37DD1" w:rsidRPr="00ED508C" w:rsidRDefault="00B37DD1" w:rsidP="00B37DD1">
      <w:pPr>
        <w:spacing w:after="100" w:afterAutospacing="1" w:line="240" w:lineRule="auto"/>
        <w:jc w:val="both"/>
        <w:rPr>
          <w:rFonts w:ascii="Arial" w:eastAsia="Times New Roman" w:hAnsi="Arial" w:cs="Arial"/>
          <w:color w:val="222222"/>
          <w:sz w:val="24"/>
          <w:szCs w:val="27"/>
          <w:lang w:eastAsia="it-IT"/>
        </w:rPr>
      </w:pPr>
      <w:r w:rsidRPr="00ED508C">
        <w:rPr>
          <w:rFonts w:ascii="Arial" w:eastAsia="Times New Roman" w:hAnsi="Arial" w:cs="Arial"/>
          <w:b/>
          <w:bCs/>
          <w:color w:val="222222"/>
          <w:sz w:val="24"/>
          <w:szCs w:val="27"/>
          <w:lang w:eastAsia="it-IT"/>
        </w:rPr>
        <w:t>Condizioni di applicazione della garanzia SACE fino al 31 dicembre 2020:</w:t>
      </w:r>
    </w:p>
    <w:p w:rsidR="00B37DD1" w:rsidRPr="00ED508C" w:rsidRDefault="00B37DD1" w:rsidP="00B37DD1">
      <w:pPr>
        <w:numPr>
          <w:ilvl w:val="0"/>
          <w:numId w:val="1"/>
        </w:numPr>
        <w:spacing w:before="75" w:after="75" w:line="240" w:lineRule="auto"/>
        <w:jc w:val="both"/>
        <w:rPr>
          <w:rFonts w:ascii="Arial" w:eastAsia="Times New Roman" w:hAnsi="Arial" w:cs="Arial"/>
          <w:color w:val="222222"/>
          <w:sz w:val="24"/>
          <w:szCs w:val="27"/>
          <w:lang w:eastAsia="it-IT"/>
        </w:rPr>
      </w:pPr>
      <w:proofErr w:type="gramStart"/>
      <w:r w:rsidRPr="00ED508C">
        <w:rPr>
          <w:rFonts w:ascii="Arial" w:eastAsia="Times New Roman" w:hAnsi="Arial" w:cs="Arial"/>
          <w:color w:val="222222"/>
          <w:sz w:val="24"/>
          <w:szCs w:val="27"/>
          <w:lang w:eastAsia="it-IT"/>
        </w:rPr>
        <w:t>finanziamento</w:t>
      </w:r>
      <w:proofErr w:type="gramEnd"/>
      <w:r w:rsidRPr="00ED508C">
        <w:rPr>
          <w:rFonts w:ascii="Arial" w:eastAsia="Times New Roman" w:hAnsi="Arial" w:cs="Arial"/>
          <w:color w:val="222222"/>
          <w:sz w:val="24"/>
          <w:szCs w:val="27"/>
          <w:lang w:eastAsia="it-IT"/>
        </w:rPr>
        <w:t xml:space="preserve"> in qualsiasi forma di durata non superiore a 6 anni, con possibilità di avere fino a 24 mesi di pre-ammortamento;</w:t>
      </w:r>
    </w:p>
    <w:p w:rsidR="00B37DD1" w:rsidRPr="00ED508C" w:rsidRDefault="00B37DD1" w:rsidP="00B37DD1">
      <w:pPr>
        <w:numPr>
          <w:ilvl w:val="0"/>
          <w:numId w:val="1"/>
        </w:numPr>
        <w:spacing w:before="75" w:after="75" w:line="240" w:lineRule="auto"/>
        <w:jc w:val="both"/>
        <w:rPr>
          <w:rFonts w:ascii="Arial" w:eastAsia="Times New Roman" w:hAnsi="Arial" w:cs="Arial"/>
          <w:color w:val="222222"/>
          <w:sz w:val="24"/>
          <w:szCs w:val="27"/>
          <w:lang w:eastAsia="it-IT"/>
        </w:rPr>
      </w:pPr>
      <w:proofErr w:type="gramStart"/>
      <w:r w:rsidRPr="00ED508C">
        <w:rPr>
          <w:rFonts w:ascii="Arial" w:eastAsia="Times New Roman" w:hAnsi="Arial" w:cs="Arial"/>
          <w:color w:val="222222"/>
          <w:sz w:val="24"/>
          <w:szCs w:val="27"/>
          <w:lang w:eastAsia="it-IT"/>
        </w:rPr>
        <w:t>impresa</w:t>
      </w:r>
      <w:proofErr w:type="gramEnd"/>
      <w:r w:rsidRPr="00ED508C">
        <w:rPr>
          <w:rFonts w:ascii="Arial" w:eastAsia="Times New Roman" w:hAnsi="Arial" w:cs="Arial"/>
          <w:color w:val="222222"/>
          <w:sz w:val="24"/>
          <w:szCs w:val="27"/>
          <w:lang w:eastAsia="it-IT"/>
        </w:rPr>
        <w:t xml:space="preserve"> beneficiaria non </w:t>
      </w:r>
      <w:proofErr w:type="spellStart"/>
      <w:r w:rsidRPr="00ED508C">
        <w:rPr>
          <w:rFonts w:ascii="Arial" w:eastAsia="Times New Roman" w:hAnsi="Arial" w:cs="Arial"/>
          <w:color w:val="222222"/>
          <w:sz w:val="24"/>
          <w:szCs w:val="27"/>
          <w:lang w:eastAsia="it-IT"/>
        </w:rPr>
        <w:t>inclusa</w:t>
      </w:r>
      <w:proofErr w:type="spellEnd"/>
      <w:r w:rsidRPr="00ED508C">
        <w:rPr>
          <w:rFonts w:ascii="Arial" w:eastAsia="Times New Roman" w:hAnsi="Arial" w:cs="Arial"/>
          <w:color w:val="222222"/>
          <w:sz w:val="24"/>
          <w:szCs w:val="27"/>
          <w:lang w:eastAsia="it-IT"/>
        </w:rPr>
        <w:t xml:space="preserve"> nella categoria delle imprese in difficoltà e non avente esposizioni deteriorate, salvo quelle maturate dopo il 29 febbraio 2020;</w:t>
      </w:r>
    </w:p>
    <w:p w:rsidR="00B37DD1" w:rsidRPr="00ED508C" w:rsidRDefault="00B37DD1" w:rsidP="00B37DD1">
      <w:pPr>
        <w:numPr>
          <w:ilvl w:val="0"/>
          <w:numId w:val="1"/>
        </w:numPr>
        <w:spacing w:before="75" w:after="75" w:line="240" w:lineRule="auto"/>
        <w:jc w:val="both"/>
        <w:rPr>
          <w:rFonts w:ascii="Arial" w:eastAsia="Times New Roman" w:hAnsi="Arial" w:cs="Arial"/>
          <w:color w:val="222222"/>
          <w:sz w:val="24"/>
          <w:szCs w:val="27"/>
          <w:lang w:eastAsia="it-IT"/>
        </w:rPr>
      </w:pPr>
      <w:proofErr w:type="gramStart"/>
      <w:r w:rsidRPr="00ED508C">
        <w:rPr>
          <w:rFonts w:ascii="Arial" w:eastAsia="Times New Roman" w:hAnsi="Arial" w:cs="Arial"/>
          <w:color w:val="222222"/>
          <w:sz w:val="24"/>
          <w:szCs w:val="27"/>
          <w:lang w:eastAsia="it-IT"/>
        </w:rPr>
        <w:t>importo</w:t>
      </w:r>
      <w:proofErr w:type="gramEnd"/>
      <w:r w:rsidRPr="00ED508C">
        <w:rPr>
          <w:rFonts w:ascii="Arial" w:eastAsia="Times New Roman" w:hAnsi="Arial" w:cs="Arial"/>
          <w:color w:val="222222"/>
          <w:sz w:val="24"/>
          <w:szCs w:val="27"/>
          <w:lang w:eastAsia="it-IT"/>
        </w:rPr>
        <w:t xml:space="preserve"> massimo del finanziamento non superiore al maggiore tra il 25% del fatturato annuo in Italia dell'impresa del 2019 e il doppio dei costi del personale dell’impresa in Italia relativi al 2019;</w:t>
      </w:r>
    </w:p>
    <w:p w:rsidR="00B37DD1" w:rsidRPr="00ED508C" w:rsidRDefault="00B37DD1" w:rsidP="00B37DD1">
      <w:pPr>
        <w:numPr>
          <w:ilvl w:val="0"/>
          <w:numId w:val="1"/>
        </w:numPr>
        <w:spacing w:before="75" w:after="75" w:line="240" w:lineRule="auto"/>
        <w:jc w:val="both"/>
        <w:rPr>
          <w:rFonts w:ascii="Arial" w:eastAsia="Times New Roman" w:hAnsi="Arial" w:cs="Arial"/>
          <w:color w:val="222222"/>
          <w:sz w:val="24"/>
          <w:szCs w:val="27"/>
          <w:lang w:eastAsia="it-IT"/>
        </w:rPr>
      </w:pPr>
      <w:proofErr w:type="gramStart"/>
      <w:r w:rsidRPr="00ED508C">
        <w:rPr>
          <w:rFonts w:ascii="Arial" w:eastAsia="Times New Roman" w:hAnsi="Arial" w:cs="Arial"/>
          <w:color w:val="222222"/>
          <w:sz w:val="24"/>
          <w:szCs w:val="27"/>
          <w:lang w:eastAsia="it-IT"/>
        </w:rPr>
        <w:t>impegno</w:t>
      </w:r>
      <w:proofErr w:type="gramEnd"/>
      <w:r w:rsidRPr="00ED508C">
        <w:rPr>
          <w:rFonts w:ascii="Arial" w:eastAsia="Times New Roman" w:hAnsi="Arial" w:cs="Arial"/>
          <w:color w:val="222222"/>
          <w:sz w:val="24"/>
          <w:szCs w:val="27"/>
          <w:lang w:eastAsia="it-IT"/>
        </w:rPr>
        <w:t xml:space="preserve"> dell’impresa beneficiaria a non approvare la distribuzione di dividendi nei dodici mesi successivi all’erogazione del finanziamento e di gestire i livelli occupazionali attraverso accordi sindacali. </w:t>
      </w:r>
    </w:p>
    <w:p w:rsidR="00B37DD1" w:rsidRPr="00ED508C" w:rsidRDefault="00B37DD1" w:rsidP="00B37DD1">
      <w:pPr>
        <w:numPr>
          <w:ilvl w:val="0"/>
          <w:numId w:val="1"/>
        </w:numPr>
        <w:spacing w:before="75" w:after="100" w:afterAutospacing="1" w:line="240" w:lineRule="auto"/>
        <w:ind w:left="714" w:hanging="357"/>
        <w:jc w:val="both"/>
        <w:rPr>
          <w:rFonts w:ascii="Arial" w:eastAsia="Times New Roman" w:hAnsi="Arial" w:cs="Arial"/>
          <w:color w:val="222222"/>
          <w:sz w:val="24"/>
          <w:szCs w:val="27"/>
          <w:lang w:eastAsia="it-IT"/>
        </w:rPr>
      </w:pPr>
      <w:proofErr w:type="gramStart"/>
      <w:r w:rsidRPr="00ED508C">
        <w:rPr>
          <w:rFonts w:ascii="Arial" w:eastAsia="Times New Roman" w:hAnsi="Arial" w:cs="Arial"/>
          <w:color w:val="222222"/>
          <w:sz w:val="24"/>
          <w:szCs w:val="27"/>
          <w:lang w:eastAsia="it-IT"/>
        </w:rPr>
        <w:t>finalità</w:t>
      </w:r>
      <w:proofErr w:type="gramEnd"/>
      <w:r w:rsidRPr="00ED508C">
        <w:rPr>
          <w:rFonts w:ascii="Arial" w:eastAsia="Times New Roman" w:hAnsi="Arial" w:cs="Arial"/>
          <w:color w:val="222222"/>
          <w:sz w:val="24"/>
          <w:szCs w:val="27"/>
          <w:lang w:eastAsia="it-IT"/>
        </w:rPr>
        <w:t xml:space="preserve"> del finanziamento di sostenere costi del personale, investimenti o capitale circolante impiegati in stabilimenti produttivi e attività imprenditoriali in Italia.</w:t>
      </w:r>
    </w:p>
    <w:p w:rsidR="00B37DD1" w:rsidRPr="00ED508C" w:rsidRDefault="00B37DD1" w:rsidP="00B37DD1">
      <w:pPr>
        <w:spacing w:after="100" w:afterAutospacing="1" w:line="240" w:lineRule="auto"/>
        <w:jc w:val="both"/>
        <w:rPr>
          <w:rFonts w:ascii="Arial" w:eastAsia="Times New Roman" w:hAnsi="Arial" w:cs="Arial"/>
          <w:color w:val="222222"/>
          <w:sz w:val="24"/>
          <w:szCs w:val="27"/>
          <w:lang w:eastAsia="it-IT"/>
        </w:rPr>
      </w:pPr>
      <w:r w:rsidRPr="00ED508C">
        <w:rPr>
          <w:rFonts w:ascii="Arial" w:eastAsia="Times New Roman" w:hAnsi="Arial" w:cs="Arial"/>
          <w:b/>
          <w:bCs/>
          <w:color w:val="222222"/>
          <w:sz w:val="24"/>
          <w:szCs w:val="27"/>
          <w:lang w:eastAsia="it-IT"/>
        </w:rPr>
        <w:t>Copertura della garanzia</w:t>
      </w:r>
      <w:r w:rsidRPr="00ED508C">
        <w:rPr>
          <w:rFonts w:ascii="Arial" w:eastAsia="Times New Roman" w:hAnsi="Arial" w:cs="Arial"/>
          <w:color w:val="222222"/>
          <w:sz w:val="24"/>
          <w:szCs w:val="27"/>
          <w:lang w:eastAsia="it-IT"/>
        </w:rPr>
        <w:t>:</w:t>
      </w:r>
    </w:p>
    <w:p w:rsidR="00B37DD1" w:rsidRPr="00ED508C" w:rsidRDefault="00B37DD1" w:rsidP="00B37DD1">
      <w:pPr>
        <w:numPr>
          <w:ilvl w:val="0"/>
          <w:numId w:val="2"/>
        </w:numPr>
        <w:spacing w:before="75" w:after="75" w:line="240" w:lineRule="auto"/>
        <w:jc w:val="both"/>
        <w:rPr>
          <w:rFonts w:ascii="Arial" w:eastAsia="Times New Roman" w:hAnsi="Arial" w:cs="Arial"/>
          <w:color w:val="222222"/>
          <w:sz w:val="24"/>
          <w:szCs w:val="27"/>
          <w:lang w:eastAsia="it-IT"/>
        </w:rPr>
      </w:pPr>
      <w:proofErr w:type="gramStart"/>
      <w:r w:rsidRPr="00ED508C">
        <w:rPr>
          <w:rFonts w:ascii="Arial" w:eastAsia="Times New Roman" w:hAnsi="Arial" w:cs="Arial"/>
          <w:b/>
          <w:bCs/>
          <w:color w:val="222222"/>
          <w:sz w:val="24"/>
          <w:szCs w:val="27"/>
          <w:lang w:eastAsia="it-IT"/>
        </w:rPr>
        <w:t>pari</w:t>
      </w:r>
      <w:proofErr w:type="gramEnd"/>
      <w:r w:rsidRPr="00ED508C">
        <w:rPr>
          <w:rFonts w:ascii="Arial" w:eastAsia="Times New Roman" w:hAnsi="Arial" w:cs="Arial"/>
          <w:b/>
          <w:bCs/>
          <w:color w:val="222222"/>
          <w:sz w:val="24"/>
          <w:szCs w:val="27"/>
          <w:lang w:eastAsia="it-IT"/>
        </w:rPr>
        <w:t xml:space="preserve"> al 90%</w:t>
      </w:r>
      <w:r w:rsidRPr="00ED508C">
        <w:rPr>
          <w:rFonts w:ascii="Arial" w:eastAsia="Times New Roman" w:hAnsi="Arial" w:cs="Arial"/>
          <w:color w:val="222222"/>
          <w:sz w:val="24"/>
          <w:szCs w:val="27"/>
          <w:lang w:eastAsia="it-IT"/>
        </w:rPr>
        <w:t> dei finanziamenti destinati a imprese con meno di 5mila dipendenti in Italia e fatturato non superiore a 1,5 miliardi;</w:t>
      </w:r>
    </w:p>
    <w:p w:rsidR="00B37DD1" w:rsidRPr="00ED508C" w:rsidRDefault="00B37DD1" w:rsidP="00B37DD1">
      <w:pPr>
        <w:numPr>
          <w:ilvl w:val="0"/>
          <w:numId w:val="2"/>
        </w:numPr>
        <w:spacing w:before="75" w:after="75" w:line="240" w:lineRule="auto"/>
        <w:jc w:val="both"/>
        <w:rPr>
          <w:rFonts w:ascii="Arial" w:eastAsia="Times New Roman" w:hAnsi="Arial" w:cs="Arial"/>
          <w:color w:val="222222"/>
          <w:sz w:val="24"/>
          <w:szCs w:val="27"/>
          <w:lang w:eastAsia="it-IT"/>
        </w:rPr>
      </w:pPr>
      <w:proofErr w:type="gramStart"/>
      <w:r w:rsidRPr="00ED508C">
        <w:rPr>
          <w:rFonts w:ascii="Arial" w:eastAsia="Times New Roman" w:hAnsi="Arial" w:cs="Arial"/>
          <w:b/>
          <w:bCs/>
          <w:color w:val="222222"/>
          <w:sz w:val="24"/>
          <w:szCs w:val="27"/>
          <w:lang w:eastAsia="it-IT"/>
        </w:rPr>
        <w:t>pari</w:t>
      </w:r>
      <w:proofErr w:type="gramEnd"/>
      <w:r w:rsidRPr="00ED508C">
        <w:rPr>
          <w:rFonts w:ascii="Arial" w:eastAsia="Times New Roman" w:hAnsi="Arial" w:cs="Arial"/>
          <w:b/>
          <w:bCs/>
          <w:color w:val="222222"/>
          <w:sz w:val="24"/>
          <w:szCs w:val="27"/>
          <w:lang w:eastAsia="it-IT"/>
        </w:rPr>
        <w:t xml:space="preserve"> all’80%</w:t>
      </w:r>
      <w:r w:rsidRPr="00ED508C">
        <w:rPr>
          <w:rFonts w:ascii="Arial" w:eastAsia="Times New Roman" w:hAnsi="Arial" w:cs="Arial"/>
          <w:color w:val="222222"/>
          <w:sz w:val="24"/>
          <w:szCs w:val="27"/>
          <w:lang w:eastAsia="it-IT"/>
        </w:rPr>
        <w:t> dei finanziamenti destinati a imprese con più di 5mila dipendenti in Italia e fatturato compresso tra 1,5 e 5 miliardi (su base consolidata);</w:t>
      </w:r>
    </w:p>
    <w:p w:rsidR="00B37DD1" w:rsidRPr="00ED508C" w:rsidRDefault="00B37DD1" w:rsidP="00B37DD1">
      <w:pPr>
        <w:numPr>
          <w:ilvl w:val="0"/>
          <w:numId w:val="2"/>
        </w:numPr>
        <w:spacing w:before="75" w:after="75" w:line="240" w:lineRule="auto"/>
        <w:jc w:val="both"/>
        <w:rPr>
          <w:rFonts w:ascii="Arial" w:eastAsia="Times New Roman" w:hAnsi="Arial" w:cs="Arial"/>
          <w:color w:val="222222"/>
          <w:sz w:val="24"/>
          <w:szCs w:val="27"/>
          <w:lang w:eastAsia="it-IT"/>
        </w:rPr>
      </w:pPr>
      <w:proofErr w:type="gramStart"/>
      <w:r w:rsidRPr="00ED508C">
        <w:rPr>
          <w:rFonts w:ascii="Arial" w:eastAsia="Times New Roman" w:hAnsi="Arial" w:cs="Arial"/>
          <w:b/>
          <w:bCs/>
          <w:color w:val="222222"/>
          <w:sz w:val="24"/>
          <w:szCs w:val="27"/>
          <w:lang w:eastAsia="it-IT"/>
        </w:rPr>
        <w:t>pari</w:t>
      </w:r>
      <w:proofErr w:type="gramEnd"/>
      <w:r w:rsidRPr="00ED508C">
        <w:rPr>
          <w:rFonts w:ascii="Arial" w:eastAsia="Times New Roman" w:hAnsi="Arial" w:cs="Arial"/>
          <w:b/>
          <w:bCs/>
          <w:color w:val="222222"/>
          <w:sz w:val="24"/>
          <w:szCs w:val="27"/>
          <w:lang w:eastAsia="it-IT"/>
        </w:rPr>
        <w:t xml:space="preserve"> al 70%</w:t>
      </w:r>
      <w:r w:rsidRPr="00ED508C">
        <w:rPr>
          <w:rFonts w:ascii="Arial" w:eastAsia="Times New Roman" w:hAnsi="Arial" w:cs="Arial"/>
          <w:color w:val="222222"/>
          <w:sz w:val="24"/>
          <w:szCs w:val="27"/>
          <w:lang w:eastAsia="it-IT"/>
        </w:rPr>
        <w:t> per imprese con fatturato superiore a 5 miliardi (su base consolidata).</w:t>
      </w:r>
    </w:p>
    <w:p w:rsidR="00B37DD1" w:rsidRDefault="00B37DD1" w:rsidP="00B37DD1">
      <w:pPr>
        <w:spacing w:after="100" w:afterAutospacing="1" w:line="240" w:lineRule="auto"/>
        <w:jc w:val="both"/>
        <w:rPr>
          <w:rFonts w:ascii="Arial" w:eastAsia="Times New Roman" w:hAnsi="Arial" w:cs="Arial"/>
          <w:color w:val="222222"/>
          <w:sz w:val="24"/>
          <w:szCs w:val="27"/>
          <w:lang w:eastAsia="it-IT"/>
        </w:rPr>
      </w:pPr>
    </w:p>
    <w:p w:rsidR="00B37DD1" w:rsidRDefault="00B37DD1" w:rsidP="00B37DD1">
      <w:pPr>
        <w:spacing w:after="100" w:afterAutospacing="1" w:line="240" w:lineRule="auto"/>
        <w:jc w:val="both"/>
        <w:rPr>
          <w:rFonts w:ascii="Arial" w:eastAsia="Times New Roman" w:hAnsi="Arial" w:cs="Arial"/>
          <w:color w:val="222222"/>
          <w:sz w:val="24"/>
          <w:szCs w:val="27"/>
          <w:lang w:eastAsia="it-IT"/>
        </w:rPr>
      </w:pPr>
      <w:r w:rsidRPr="00ED508C">
        <w:rPr>
          <w:rFonts w:ascii="Arial" w:eastAsia="Times New Roman" w:hAnsi="Arial" w:cs="Arial"/>
          <w:color w:val="222222"/>
          <w:sz w:val="24"/>
          <w:szCs w:val="27"/>
          <w:lang w:eastAsia="it-IT"/>
        </w:rPr>
        <w:t>La concessione del credito sarà sempre subordinata alla valutazione della situazione del cliente da parte della banca.  </w:t>
      </w:r>
    </w:p>
    <w:tbl>
      <w:tblPr>
        <w:tblStyle w:val="Grigliatabella"/>
        <w:tblpPr w:leftFromText="142" w:rightFromText="142" w:vertAnchor="text" w:horzAnchor="margin" w:tblpY="24"/>
        <w:tblOverlap w:val="never"/>
        <w:tblW w:w="11103"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1103"/>
      </w:tblGrid>
      <w:tr w:rsidR="00B37DD1" w:rsidTr="00850EC1">
        <w:trPr>
          <w:trHeight w:val="1530"/>
        </w:trPr>
        <w:tc>
          <w:tcPr>
            <w:tcW w:w="11103" w:type="dxa"/>
          </w:tcPr>
          <w:p w:rsidR="00B37DD1" w:rsidRPr="00072A6F" w:rsidRDefault="00B37DD1" w:rsidP="00850EC1">
            <w:pPr>
              <w:pStyle w:val="NormaleWeb"/>
              <w:spacing w:before="0" w:beforeAutospacing="0"/>
              <w:rPr>
                <w:rFonts w:ascii="Arial" w:hAnsi="Arial" w:cs="Arial"/>
                <w:b/>
                <w:color w:val="00B050"/>
                <w:sz w:val="22"/>
                <w:szCs w:val="27"/>
              </w:rPr>
            </w:pPr>
            <w:r>
              <w:rPr>
                <w:rFonts w:ascii="Arial" w:hAnsi="Arial" w:cs="Arial"/>
                <w:b/>
                <w:bCs/>
                <w:i/>
                <w:color w:val="222222"/>
                <w:szCs w:val="27"/>
              </w:rPr>
              <w:t xml:space="preserve">Per approfondire </w:t>
            </w:r>
          </w:p>
          <w:p w:rsidR="00B37DD1" w:rsidRPr="00946A5D" w:rsidRDefault="00B37DD1" w:rsidP="00850EC1">
            <w:pPr>
              <w:pStyle w:val="NormaleWeb"/>
              <w:spacing w:before="0" w:beforeAutospacing="0"/>
              <w:rPr>
                <w:rFonts w:ascii="Arial" w:hAnsi="Arial" w:cs="Arial"/>
                <w:color w:val="222222"/>
                <w:sz w:val="22"/>
                <w:szCs w:val="27"/>
              </w:rPr>
            </w:pPr>
            <w:r>
              <w:rPr>
                <w:rFonts w:ascii="Arial" w:hAnsi="Arial" w:cs="Arial"/>
                <w:noProof/>
                <w:color w:val="222222"/>
                <w:szCs w:val="27"/>
              </w:rPr>
              <mc:AlternateContent>
                <mc:Choice Requires="wps">
                  <w:drawing>
                    <wp:anchor distT="0" distB="0" distL="114300" distR="114300" simplePos="0" relativeHeight="251661312" behindDoc="0" locked="0" layoutInCell="1" allowOverlap="1" wp14:anchorId="7482C4B8" wp14:editId="57C1AA6C">
                      <wp:simplePos x="0" y="0"/>
                      <wp:positionH relativeFrom="column">
                        <wp:posOffset>-5080</wp:posOffset>
                      </wp:positionH>
                      <wp:positionV relativeFrom="paragraph">
                        <wp:posOffset>80645</wp:posOffset>
                      </wp:positionV>
                      <wp:extent cx="220980" cy="0"/>
                      <wp:effectExtent l="0" t="76200" r="26670" b="95250"/>
                      <wp:wrapNone/>
                      <wp:docPr id="28" name="Connettore 2 28"/>
                      <wp:cNvGraphicFramePr/>
                      <a:graphic xmlns:a="http://schemas.openxmlformats.org/drawingml/2006/main">
                        <a:graphicData uri="http://schemas.microsoft.com/office/word/2010/wordprocessingShape">
                          <wps:wsp>
                            <wps:cNvCnPr/>
                            <wps:spPr>
                              <a:xfrm>
                                <a:off x="0" y="0"/>
                                <a:ext cx="2209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B0FF90" id="_x0000_t32" coordsize="21600,21600" o:spt="32" o:oned="t" path="m,l21600,21600e" filled="f">
                      <v:path arrowok="t" fillok="f" o:connecttype="none"/>
                      <o:lock v:ext="edit" shapetype="t"/>
                    </v:shapetype>
                    <v:shape id="Connettore 2 28" o:spid="_x0000_s1026" type="#_x0000_t32" style="position:absolute;margin-left:-.4pt;margin-top:6.35pt;width:17.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" strokecolor="#5b9bd5 [3204]" strokeweight=".5pt">
                      <v:stroke endarrow="block" joinstyle="miter"/>
                    </v:shape>
                  </w:pict>
                </mc:Fallback>
              </mc:AlternateContent>
            </w:r>
            <w:r>
              <w:rPr>
                <w:rFonts w:ascii="Arial" w:hAnsi="Arial" w:cs="Arial"/>
                <w:color w:val="222222"/>
                <w:szCs w:val="27"/>
              </w:rPr>
              <w:t xml:space="preserve">       </w:t>
            </w:r>
            <w:hyperlink r:id="rId5" w:tgtFrame="_blank" w:history="1">
              <w:r w:rsidRPr="001177A8">
                <w:rPr>
                  <w:rStyle w:val="Collegamentoipertestuale"/>
                  <w:rFonts w:ascii="Arial" w:hAnsi="Arial" w:cs="Arial"/>
                  <w:b/>
                  <w:bCs/>
                  <w:color w:val="A3BF19"/>
                </w:rPr>
                <w:t>Cos’è “Garanzia Italia” di SACE</w:t>
              </w:r>
            </w:hyperlink>
            <w:r>
              <w:rPr>
                <w:rFonts w:ascii="Arial" w:hAnsi="Arial" w:cs="Arial"/>
              </w:rPr>
              <w:t xml:space="preserve"> </w:t>
            </w:r>
            <w:r>
              <w:rPr>
                <w:rFonts w:ascii="Arial" w:hAnsi="Arial" w:cs="Arial"/>
                <w:color w:val="222222"/>
                <w:szCs w:val="27"/>
              </w:rPr>
              <w:t>(</w:t>
            </w:r>
            <w:r w:rsidRPr="008D578B">
              <w:rPr>
                <w:rFonts w:ascii="Arial" w:hAnsi="Arial" w:cs="Arial"/>
                <w:color w:val="222222"/>
                <w:sz w:val="22"/>
                <w:szCs w:val="27"/>
              </w:rPr>
              <w:t xml:space="preserve">nota per Tonio </w:t>
            </w:r>
            <w:r w:rsidRPr="0016388D">
              <w:rPr>
                <w:rFonts w:ascii="Arial" w:hAnsi="Arial" w:cs="Arial"/>
                <w:color w:val="222222"/>
                <w:sz w:val="22"/>
                <w:szCs w:val="27"/>
              </w:rPr>
              <w:t>inserire link</w:t>
            </w:r>
            <w:r>
              <w:rPr>
                <w:rFonts w:ascii="Arial" w:hAnsi="Arial" w:cs="Arial"/>
                <w:color w:val="222222"/>
                <w:sz w:val="22"/>
                <w:szCs w:val="27"/>
              </w:rPr>
              <w:t xml:space="preserve"> </w:t>
            </w:r>
            <w:hyperlink r:id="rId6" w:history="1">
              <w:r w:rsidRPr="001177A8">
                <w:rPr>
                  <w:rStyle w:val="Collegamentoipertestuale"/>
                  <w:rFonts w:ascii="Arial" w:hAnsi="Arial" w:cs="Arial"/>
                  <w:sz w:val="22"/>
                </w:rPr>
                <w:t>https://www.sacesimest.it/garanziaitalia</w:t>
              </w:r>
            </w:hyperlink>
            <w:r w:rsidRPr="001177A8">
              <w:rPr>
                <w:rStyle w:val="Collegamentoipertestuale"/>
                <w:rFonts w:ascii="Arial" w:hAnsi="Arial" w:cs="Arial"/>
                <w:color w:val="auto"/>
                <w:sz w:val="22"/>
                <w:u w:val="none"/>
              </w:rPr>
              <w:t>)</w:t>
            </w:r>
          </w:p>
          <w:p w:rsidR="00B37DD1" w:rsidRPr="001177A8" w:rsidRDefault="00B37DD1" w:rsidP="00B37DD1">
            <w:pPr>
              <w:pStyle w:val="NormaleWeb"/>
              <w:spacing w:before="0" w:beforeAutospacing="0"/>
              <w:rPr>
                <w:rFonts w:ascii="Arial" w:hAnsi="Arial" w:cs="Arial"/>
                <w:color w:val="00B050"/>
                <w:szCs w:val="27"/>
              </w:rPr>
            </w:pPr>
            <w:r>
              <w:rPr>
                <w:rFonts w:ascii="Arial" w:hAnsi="Arial" w:cs="Arial"/>
                <w:noProof/>
                <w:color w:val="222222"/>
                <w:szCs w:val="27"/>
              </w:rPr>
              <mc:AlternateContent>
                <mc:Choice Requires="wps">
                  <w:drawing>
                    <wp:anchor distT="0" distB="0" distL="114300" distR="114300" simplePos="0" relativeHeight="251663360" behindDoc="0" locked="0" layoutInCell="1" allowOverlap="1" wp14:anchorId="636894D0" wp14:editId="3E21EC18">
                      <wp:simplePos x="0" y="0"/>
                      <wp:positionH relativeFrom="column">
                        <wp:posOffset>-5080</wp:posOffset>
                      </wp:positionH>
                      <wp:positionV relativeFrom="paragraph">
                        <wp:posOffset>100272</wp:posOffset>
                      </wp:positionV>
                      <wp:extent cx="220980" cy="0"/>
                      <wp:effectExtent l="0" t="76200" r="26670" b="95250"/>
                      <wp:wrapNone/>
                      <wp:docPr id="27" name="Connettore 2 27"/>
                      <wp:cNvGraphicFramePr/>
                      <a:graphic xmlns:a="http://schemas.openxmlformats.org/drawingml/2006/main">
                        <a:graphicData uri="http://schemas.microsoft.com/office/word/2010/wordprocessingShape">
                          <wps:wsp>
                            <wps:cNvCnPr/>
                            <wps:spPr>
                              <a:xfrm>
                                <a:off x="0" y="0"/>
                                <a:ext cx="2209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AB69B1" id="Connettore 2 27" o:spid="_x0000_s1026" type="#_x0000_t32" style="position:absolute;margin-left:-.4pt;margin-top:7.9pt;width:17.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" strokecolor="#5b9bd5 [3204]" strokeweight=".5pt">
                      <v:stroke endarrow="block" joinstyle="miter"/>
                    </v:shape>
                  </w:pict>
                </mc:Fallback>
              </mc:AlternateContent>
            </w:r>
            <w:r>
              <w:rPr>
                <w:rFonts w:ascii="Arial" w:hAnsi="Arial" w:cs="Arial"/>
                <w:b/>
                <w:color w:val="00B050"/>
                <w:szCs w:val="27"/>
              </w:rPr>
              <w:t xml:space="preserve">       </w:t>
            </w:r>
            <w:proofErr w:type="gramStart"/>
            <w:r w:rsidRPr="001177A8">
              <w:rPr>
                <w:rFonts w:ascii="Arial" w:hAnsi="Arial" w:cs="Arial"/>
                <w:color w:val="00B050"/>
                <w:szCs w:val="27"/>
              </w:rPr>
              <w:t>manuale</w:t>
            </w:r>
            <w:proofErr w:type="gramEnd"/>
            <w:r w:rsidRPr="001177A8">
              <w:rPr>
                <w:rFonts w:ascii="Arial" w:hAnsi="Arial" w:cs="Arial"/>
                <w:color w:val="00B050"/>
                <w:szCs w:val="27"/>
              </w:rPr>
              <w:t xml:space="preserve"> operativo SACE</w:t>
            </w:r>
            <w:r>
              <w:rPr>
                <w:rFonts w:ascii="Arial" w:hAnsi="Arial" w:cs="Arial"/>
                <w:color w:val="00B050"/>
                <w:szCs w:val="27"/>
              </w:rPr>
              <w:t xml:space="preserve"> </w:t>
            </w:r>
            <w:r>
              <w:rPr>
                <w:rFonts w:ascii="Arial" w:hAnsi="Arial" w:cs="Arial"/>
                <w:color w:val="222222"/>
                <w:sz w:val="22"/>
                <w:szCs w:val="27"/>
              </w:rPr>
              <w:t>(n</w:t>
            </w:r>
            <w:r w:rsidRPr="008D578B">
              <w:rPr>
                <w:rFonts w:ascii="Arial" w:hAnsi="Arial" w:cs="Arial"/>
                <w:color w:val="222222"/>
                <w:sz w:val="22"/>
                <w:szCs w:val="27"/>
              </w:rPr>
              <w:t xml:space="preserve">ota per Tonio </w:t>
            </w:r>
            <w:r w:rsidRPr="0016388D">
              <w:rPr>
                <w:rFonts w:ascii="Arial" w:hAnsi="Arial" w:cs="Arial"/>
                <w:color w:val="222222"/>
                <w:sz w:val="22"/>
                <w:szCs w:val="27"/>
              </w:rPr>
              <w:t>inserire</w:t>
            </w:r>
            <w:r>
              <w:rPr>
                <w:rFonts w:ascii="Arial" w:hAnsi="Arial" w:cs="Arial"/>
                <w:color w:val="222222"/>
                <w:sz w:val="22"/>
                <w:szCs w:val="27"/>
              </w:rPr>
              <w:t xml:space="preserve"> allegato)</w:t>
            </w:r>
            <w:bookmarkStart w:id="0" w:name="_GoBack"/>
            <w:bookmarkEnd w:id="0"/>
          </w:p>
        </w:tc>
      </w:tr>
    </w:tbl>
    <w:p w:rsidR="00C706CB" w:rsidRDefault="00C706CB"/>
    <w:sectPr w:rsidR="00C706CB" w:rsidSect="00B37DD1">
      <w:pgSz w:w="16838" w:h="11906" w:orient="landscape"/>
      <w:pgMar w:top="426" w:right="141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E1413"/>
    <w:multiLevelType w:val="multilevel"/>
    <w:tmpl w:val="652CAC90"/>
    <w:lvl w:ilvl="0">
      <w:start w:val="1"/>
      <w:numFmt w:val="bullet"/>
      <w:lvlText w:val=""/>
      <w:lvlJc w:val="left"/>
      <w:pPr>
        <w:tabs>
          <w:tab w:val="num" w:pos="720"/>
        </w:tabs>
        <w:ind w:left="720" w:hanging="360"/>
      </w:pPr>
      <w:rPr>
        <w:rFonts w:ascii="Wingdings" w:hAnsi="Wingdings" w:hint="default"/>
        <w:color w:val="00B05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06C6F"/>
    <w:multiLevelType w:val="multilevel"/>
    <w:tmpl w:val="B41E8102"/>
    <w:lvl w:ilvl="0">
      <w:start w:val="1"/>
      <w:numFmt w:val="bullet"/>
      <w:lvlText w:val=""/>
      <w:lvlJc w:val="left"/>
      <w:pPr>
        <w:tabs>
          <w:tab w:val="num" w:pos="720"/>
        </w:tabs>
        <w:ind w:left="720" w:hanging="360"/>
      </w:pPr>
      <w:rPr>
        <w:rFonts w:ascii="Wingdings" w:hAnsi="Wingdings" w:hint="default"/>
        <w:color w:val="00B05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D1"/>
    <w:rsid w:val="00B37DD1"/>
    <w:rsid w:val="00C70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BACE6-6050-4C19-B4F8-D4C10DC5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7D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37DD1"/>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B37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B37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cesimest.it/garanziaitalia" TargetMode="External"/><Relationship Id="rId5" Type="http://schemas.openxmlformats.org/officeDocument/2006/relationships/hyperlink" Target="https://www.sacesimest.it/garanziaitali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 Leverano</dc:creator>
  <cp:keywords/>
  <dc:description/>
  <cp:lastModifiedBy>BCC Leverano</cp:lastModifiedBy>
  <cp:revision>1</cp:revision>
  <dcterms:created xsi:type="dcterms:W3CDTF">2020-05-12T16:36:00Z</dcterms:created>
  <dcterms:modified xsi:type="dcterms:W3CDTF">2020-05-12T16:40:00Z</dcterms:modified>
</cp:coreProperties>
</file>